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footer1.xml" ContentType="application/vnd.openxmlformats-officedocument.wordprocessingml.footer+xml"/>
  <Override PartName="/word/media/image1.emf" ContentType="image/x-emf"/>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ackground w:color="FFFFFF"/>
  <w:body>
    <w:p>
      <w:pPr>
        <w:pStyle w:val="Normal"/>
        <w:rPr>
          <w:b/>
          <w:sz w:val="22"/>
        </w:rPr>
      </w:pPr>
      <w:r>
        <w:rPr>
          <w:b/>
          <w:sz w:val="22"/>
        </w:rPr>
        <w:t>K</w:t>
        <w:drawing>
          <wp:anchor behindDoc="1" distT="0" distB="0" distL="114300" distR="114300" simplePos="0" locked="0" layoutInCell="1" allowOverlap="1" relativeHeight="4">
            <wp:simplePos x="0" y="0"/>
            <wp:positionH relativeFrom="column">
              <wp:posOffset>-1800225</wp:posOffset>
            </wp:positionH>
            <wp:positionV relativeFrom="paragraph">
              <wp:posOffset>-183515</wp:posOffset>
            </wp:positionV>
            <wp:extent cx="7560310" cy="10510520"/>
            <wp:effectExtent l="0" t="0" r="0" b="0"/>
            <wp:wrapNone/>
            <wp:docPr id="0" name="Picture" descr="Blank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Blank_2"/>
                    <pic:cNvPicPr>
                      <a:picLocks noChangeAspect="1" noChangeArrowheads="1"/>
                    </pic:cNvPicPr>
                  </pic:nvPicPr>
                  <pic:blipFill>
                    <a:blip r:embed="rId2"/>
                    <a:stretch>
                      <a:fillRect/>
                    </a:stretch>
                  </pic:blipFill>
                  <pic:spPr bwMode="auto">
                    <a:xfrm>
                      <a:off x="0" y="0"/>
                      <a:ext cx="7560310" cy="10510520"/>
                    </a:xfrm>
                    <a:prstGeom prst="rect">
                      <a:avLst/>
                    </a:prstGeom>
                    <a:noFill/>
                    <a:ln w="9525">
                      <a:noFill/>
                      <a:miter lim="800000"/>
                      <a:headEnd/>
                      <a:tailEnd/>
                    </a:ln>
                  </pic:spPr>
                </pic:pic>
              </a:graphicData>
            </a:graphic>
          </wp:anchor>
        </w:drawing>
      </w:r>
      <w:r>
        <w:rPr>
          <w:b/>
          <w:sz w:val="22"/>
        </w:rPr>
        <w:t>ÖITE SISUKORD</w:t>
      </w:r>
    </w:p>
    <w:p>
      <w:pPr>
        <w:pStyle w:val="Normal"/>
        <w:rPr/>
      </w:pPr>
      <w:r>
        <w:rPr/>
      </w:r>
    </w:p>
    <w:p>
      <w:pPr>
        <w:pStyle w:val="Normal"/>
        <w:rPr/>
      </w:pPr>
      <w:r>
        <w:rPr/>
      </w:r>
    </w:p>
    <w:p>
      <w:pPr>
        <w:pStyle w:val="Normal"/>
        <w:rPr>
          <w:b/>
          <w:sz w:val="22"/>
        </w:rPr>
      </w:pPr>
      <w:r>
        <w:rPr>
          <w:b/>
          <w:sz w:val="22"/>
        </w:rPr>
        <w:t>I</w:t>
        <w:tab/>
        <w:t>SELETUSKIRI</w:t>
      </w:r>
    </w:p>
    <w:p>
      <w:pPr>
        <w:pStyle w:val="Contents1"/>
        <w:tabs>
          <w:tab w:val="right" w:pos="7656" w:leader="dot"/>
        </w:tabs>
        <w:rPr>
          <w:rStyle w:val="IndexLink"/>
        </w:rPr>
      </w:pPr>
      <w:r>
        <w:fldChar w:fldCharType="begin"/>
      </w:r>
      <w:r>
        <w:instrText> TOC </w:instrText>
      </w:r>
      <w:r>
        <w:fldChar w:fldCharType="separate"/>
      </w:r>
      <w:hyperlink w:anchor="__RefHeading__266_1161134935">
        <w:r>
          <w:rPr>
            <w:rStyle w:val="IndexLink"/>
          </w:rPr>
          <w:t>1.Gaasivarustuse välisvõrk</w:t>
          <w:tab/>
          <w:t>4</w:t>
        </w:r>
      </w:hyperlink>
    </w:p>
    <w:p>
      <w:pPr>
        <w:pStyle w:val="Contents2"/>
        <w:tabs>
          <w:tab w:val="right" w:pos="7656" w:leader="dot"/>
        </w:tabs>
        <w:rPr>
          <w:rStyle w:val="IndexLink"/>
        </w:rPr>
      </w:pPr>
      <w:hyperlink w:anchor="__RefHeading__268_1161134935">
        <w:r>
          <w:rPr>
            <w:rStyle w:val="IndexLink"/>
          </w:rPr>
          <w:t>1.1.Üldandmed</w:t>
          <w:tab/>
          <w:t>4</w:t>
        </w:r>
      </w:hyperlink>
    </w:p>
    <w:p>
      <w:pPr>
        <w:pStyle w:val="Contents3"/>
        <w:tabs>
          <w:tab w:val="right" w:pos="7656" w:leader="dot"/>
        </w:tabs>
        <w:rPr>
          <w:rStyle w:val="IndexLink"/>
        </w:rPr>
      </w:pPr>
      <w:hyperlink w:anchor="__RefHeading__270_1161134935">
        <w:r>
          <w:rPr>
            <w:rStyle w:val="IndexLink"/>
          </w:rPr>
          <w:t>1.1.1.Projekteerimistöö piiritlus</w:t>
          <w:tab/>
          <w:t>4</w:t>
        </w:r>
      </w:hyperlink>
    </w:p>
    <w:p>
      <w:pPr>
        <w:pStyle w:val="Contents2"/>
        <w:tabs>
          <w:tab w:val="right" w:pos="7656" w:leader="dot"/>
        </w:tabs>
        <w:rPr>
          <w:rStyle w:val="IndexLink"/>
        </w:rPr>
      </w:pPr>
      <w:hyperlink w:anchor="__RefHeading__272_1161134935">
        <w:r>
          <w:rPr>
            <w:rStyle w:val="IndexLink"/>
          </w:rPr>
          <w:t>1.2.Olemasolev</w:t>
          <w:tab/>
          <w:t>4</w:t>
        </w:r>
      </w:hyperlink>
    </w:p>
    <w:p>
      <w:pPr>
        <w:pStyle w:val="Contents3"/>
        <w:tabs>
          <w:tab w:val="right" w:pos="7656" w:leader="dot"/>
        </w:tabs>
        <w:rPr>
          <w:rStyle w:val="IndexLink"/>
        </w:rPr>
      </w:pPr>
      <w:hyperlink w:anchor="__RefHeading__274_1161134935">
        <w:r>
          <w:rPr>
            <w:rStyle w:val="IndexLink"/>
          </w:rPr>
          <w:t>1.2.1.Gaasitorustik</w:t>
          <w:tab/>
          <w:t>4</w:t>
        </w:r>
      </w:hyperlink>
    </w:p>
    <w:p>
      <w:pPr>
        <w:pStyle w:val="Contents3"/>
        <w:tabs>
          <w:tab w:val="right" w:pos="7656" w:leader="dot"/>
        </w:tabs>
        <w:rPr>
          <w:rStyle w:val="IndexLink"/>
        </w:rPr>
      </w:pPr>
      <w:hyperlink w:anchor="__RefHeading__276_1161134935">
        <w:r>
          <w:rPr>
            <w:rStyle w:val="IndexLink"/>
          </w:rPr>
          <w:t>1.2.2.Gaasi parameetrid ja rõhk</w:t>
          <w:tab/>
          <w:t>4</w:t>
        </w:r>
      </w:hyperlink>
    </w:p>
    <w:p>
      <w:pPr>
        <w:pStyle w:val="Contents2"/>
        <w:tabs>
          <w:tab w:val="right" w:pos="7656" w:leader="dot"/>
        </w:tabs>
        <w:rPr>
          <w:rStyle w:val="IndexLink"/>
        </w:rPr>
      </w:pPr>
      <w:hyperlink w:anchor="__RefHeading__278_1161134935">
        <w:r>
          <w:rPr>
            <w:rStyle w:val="IndexLink"/>
          </w:rPr>
          <w:t>1.3.Projekteeritud gaasivarustus</w:t>
          <w:tab/>
          <w:t>4</w:t>
        </w:r>
      </w:hyperlink>
    </w:p>
    <w:p>
      <w:pPr>
        <w:pStyle w:val="Contents3"/>
        <w:tabs>
          <w:tab w:val="right" w:pos="7656" w:leader="dot"/>
        </w:tabs>
        <w:rPr>
          <w:rStyle w:val="IndexLink"/>
        </w:rPr>
      </w:pPr>
      <w:hyperlink w:anchor="__RefHeading__280_1161134935">
        <w:r>
          <w:rPr>
            <w:rStyle w:val="IndexLink"/>
          </w:rPr>
          <w:t>1.3.1.Süsteemi parameetrid</w:t>
          <w:tab/>
          <w:t>4</w:t>
        </w:r>
      </w:hyperlink>
    </w:p>
    <w:p>
      <w:pPr>
        <w:pStyle w:val="Contents3"/>
        <w:tabs>
          <w:tab w:val="right" w:pos="7656" w:leader="dot"/>
        </w:tabs>
        <w:rPr>
          <w:rStyle w:val="IndexLink"/>
        </w:rPr>
      </w:pPr>
      <w:hyperlink w:anchor="__RefHeading__282_1161134935">
        <w:r>
          <w:rPr>
            <w:rStyle w:val="IndexLink"/>
          </w:rPr>
          <w:t>1.3.2.Ühenduskoht olemasoleva gaasisüsteemiga</w:t>
          <w:tab/>
          <w:t>4</w:t>
        </w:r>
      </w:hyperlink>
    </w:p>
    <w:p>
      <w:pPr>
        <w:pStyle w:val="Contents3"/>
        <w:tabs>
          <w:tab w:val="right" w:pos="7656" w:leader="dot"/>
        </w:tabs>
        <w:rPr>
          <w:rStyle w:val="IndexLink"/>
        </w:rPr>
      </w:pPr>
      <w:hyperlink w:anchor="__RefHeading__284_1161134935">
        <w:r>
          <w:rPr>
            <w:rStyle w:val="IndexLink"/>
          </w:rPr>
          <w:t>1.3.3.Gaasivarustuse rajatised</w:t>
          <w:tab/>
          <w:t>4</w:t>
        </w:r>
      </w:hyperlink>
      <w:r>
        <w:fldChar w:fldCharType="end"/>
      </w:r>
    </w:p>
    <w:p>
      <w:pPr>
        <w:pStyle w:val="Contents1"/>
        <w:rPr/>
      </w:pPr>
      <w:hyperlink w:anchor="_Toc20987431">
        <w:r>
          <w:rPr/>
        </w:r>
      </w:hyperlink>
    </w:p>
    <w:p>
      <w:pPr>
        <w:pStyle w:val="Normal"/>
        <w:pageBreakBefore/>
        <w:rPr>
          <w:b/>
          <w:sz w:val="22"/>
        </w:rPr>
      </w:pPr>
      <w:r>
        <w:rPr>
          <w:b/>
          <w:sz w:val="22"/>
        </w:rPr>
        <w:t>II</w:t>
        <w:tab/>
        <w:t>LISAD</w:t>
      </w:r>
    </w:p>
    <w:p>
      <w:pPr>
        <w:pStyle w:val="Normal"/>
        <w:rPr/>
      </w:pPr>
      <w:r>
        <w:rPr/>
      </w:r>
    </w:p>
    <w:p>
      <w:pPr>
        <w:pStyle w:val="Normal"/>
        <w:numPr>
          <w:ilvl w:val="0"/>
          <w:numId w:val="3"/>
        </w:numPr>
        <w:rPr/>
      </w:pPr>
      <w:r>
        <w:rPr/>
        <w:t xml:space="preserve"> </w:t>
      </w:r>
      <w:r>
        <w:rPr/>
        <w:t>AS tehnilised tingimused GV-3.2 PJ-653/19, 04.07.2019</w:t>
      </w:r>
    </w:p>
    <w:p>
      <w:pPr>
        <w:pStyle w:val="Normal"/>
        <w:numPr>
          <w:ilvl w:val="0"/>
          <w:numId w:val="3"/>
        </w:numPr>
        <w:rPr/>
      </w:pPr>
      <w:r>
        <w:rPr/>
        <w:t xml:space="preserve"> </w:t>
      </w:r>
      <w:r>
        <w:rPr/>
        <w:t xml:space="preserve">AS tehnilised tingimused nr 330751, 22.08.2019 </w:t>
      </w:r>
    </w:p>
    <w:p>
      <w:pPr>
        <w:pStyle w:val="Normal"/>
        <w:rPr/>
      </w:pPr>
      <w:r>
        <w:rPr/>
      </w:r>
    </w:p>
    <w:p>
      <w:pPr>
        <w:pStyle w:val="Normal"/>
        <w:rPr>
          <w:b/>
          <w:sz w:val="22"/>
        </w:rPr>
      </w:pPr>
      <w:r>
        <w:rPr>
          <w:b/>
          <w:sz w:val="22"/>
        </w:rPr>
        <w:t>III</w:t>
        <w:tab/>
        <w:t>JOONISED</w:t>
      </w:r>
    </w:p>
    <w:p>
      <w:pPr>
        <w:pStyle w:val="Normal"/>
        <w:rPr/>
      </w:pPr>
      <w:r>
        <w:rPr/>
      </w:r>
    </w:p>
    <w:p>
      <w:pPr>
        <w:pStyle w:val="Normal"/>
        <w:numPr>
          <w:ilvl w:val="0"/>
          <w:numId w:val="4"/>
        </w:numPr>
        <w:tabs>
          <w:tab w:val="left" w:pos="709" w:leader="none"/>
          <w:tab w:val="left" w:pos="6804" w:leader="none"/>
        </w:tabs>
        <w:rPr/>
      </w:pPr>
      <w:r>
        <w:rPr/>
        <w:t>Gaasivarustuse asendiplaan</w:t>
        <w:tab/>
        <w:t>G-1</w:t>
      </w:r>
    </w:p>
    <w:p>
      <w:pPr>
        <w:pStyle w:val="Normal"/>
        <w:numPr>
          <w:ilvl w:val="0"/>
          <w:numId w:val="4"/>
        </w:numPr>
        <w:tabs>
          <w:tab w:val="left" w:pos="709" w:leader="none"/>
          <w:tab w:val="left" w:pos="6804" w:leader="none"/>
        </w:tabs>
        <w:rPr/>
      </w:pPr>
      <w:r>
        <w:rPr/>
        <w:t>Asendiplaan – 0,4 kV maakaabelliini rajamine</w:t>
        <w:tab/>
        <w:t>190930-EV1</w:t>
      </w:r>
    </w:p>
    <w:p>
      <w:pPr>
        <w:pStyle w:val="Normal"/>
        <w:rPr/>
      </w:pPr>
      <w:r>
        <w:rPr/>
      </w:r>
    </w:p>
    <w:p>
      <w:pPr>
        <w:pStyle w:val="Normal"/>
        <w:rPr/>
      </w:pPr>
      <w:r>
        <w:rPr/>
      </w:r>
    </w:p>
    <w:p>
      <w:pPr>
        <w:pStyle w:val="Heading1"/>
        <w:pageBreakBefore/>
        <w:numPr>
          <w:ilvl w:val="0"/>
          <w:numId w:val="1"/>
        </w:numPr>
        <w:rPr>
          <w:lang w:val="et-EE"/>
        </w:rPr>
      </w:pPr>
      <w:bookmarkStart w:id="0" w:name="__RefHeading__266_1161134935"/>
      <w:bookmarkStart w:id="1" w:name="_Toc20987431"/>
      <w:bookmarkEnd w:id="0"/>
      <w:bookmarkEnd w:id="1"/>
      <w:r>
        <w:rPr>
          <w:lang w:val="et-EE"/>
        </w:rPr>
        <w:t>Gaasivarustuse välisvõrk</w:t>
      </w:r>
    </w:p>
    <w:p>
      <w:pPr>
        <w:pStyle w:val="Heading2"/>
        <w:numPr>
          <w:ilvl w:val="1"/>
          <w:numId w:val="2"/>
        </w:numPr>
        <w:rPr/>
      </w:pPr>
      <w:bookmarkStart w:id="2" w:name="__RefHeading__268_1161134935"/>
      <w:bookmarkStart w:id="3" w:name="_Toc20987432"/>
      <w:bookmarkEnd w:id="2"/>
      <w:bookmarkEnd w:id="3"/>
      <w:r>
        <w:rPr/>
        <w:t>Üldandmed</w:t>
      </w:r>
    </w:p>
    <w:p>
      <w:pPr>
        <w:pStyle w:val="Heading3"/>
        <w:numPr>
          <w:ilvl w:val="2"/>
          <w:numId w:val="2"/>
        </w:numPr>
        <w:rPr/>
      </w:pPr>
      <w:bookmarkStart w:id="4" w:name="__RefHeading__270_1161134935"/>
      <w:bookmarkStart w:id="5" w:name="_Toc20987433"/>
      <w:bookmarkEnd w:id="4"/>
      <w:bookmarkEnd w:id="5"/>
      <w:r>
        <w:rPr/>
        <w:t>Projekteerimistöö piiritlus</w:t>
      </w:r>
    </w:p>
    <w:p>
      <w:pPr>
        <w:pStyle w:val="Normal"/>
        <w:rPr/>
      </w:pPr>
      <w:r>
        <w:rPr/>
        <w:t>Käesoleva projektiga lahendatakse Viljandis,  biometaani sõlme gaasivarustuse eriosa lahendus.</w:t>
      </w:r>
    </w:p>
    <w:p>
      <w:pPr>
        <w:pStyle w:val="Normal"/>
        <w:rPr/>
      </w:pPr>
      <w:r>
        <w:rPr/>
      </w:r>
    </w:p>
    <w:p>
      <w:pPr>
        <w:pStyle w:val="Heading4"/>
        <w:numPr>
          <w:ilvl w:val="3"/>
          <w:numId w:val="2"/>
        </w:numPr>
        <w:rPr/>
      </w:pPr>
      <w:r>
        <w:rPr/>
        <w:t>Normdokumendid</w:t>
      </w:r>
    </w:p>
    <w:p>
      <w:pPr>
        <w:pStyle w:val="Normal"/>
        <w:rPr/>
      </w:pPr>
      <w:r>
        <w:rPr/>
        <w:t>Gaasitorustiku projekteerimisel on arvestatud järgmiste standarditega:</w:t>
      </w:r>
    </w:p>
    <w:p>
      <w:pPr>
        <w:pStyle w:val="Normal"/>
        <w:numPr>
          <w:ilvl w:val="0"/>
          <w:numId w:val="5"/>
        </w:numPr>
        <w:rPr/>
      </w:pPr>
      <w:r>
        <w:rPr/>
        <w:t>Gaasitorustik on projekteeritud EV-s kehtivate normide kohaselt, jälgides EVS-EN 1775:2008, EVS-EN 12007-2:2012 ja EVS-EN 12007-4:2012 standardeid ja Eesti Gaasiliidu juhendi G1-1, G2-1 ja G3-1 nõudeid, Majandus- ja taristuministri 10. juuli 2015. a määrust nr 87 ning seadme ohutuse seadust 1.07.2015.</w:t>
      </w:r>
    </w:p>
    <w:p>
      <w:pPr>
        <w:pStyle w:val="Normal"/>
        <w:numPr>
          <w:ilvl w:val="0"/>
          <w:numId w:val="5"/>
        </w:numPr>
        <w:rPr/>
      </w:pPr>
      <w:r>
        <w:rPr/>
        <w:t>Projekti koostamisel on arvestatud torumaterjali ja gaasiseadmete tootjatehaste tavapäraste üldiste soovitustega.</w:t>
      </w:r>
    </w:p>
    <w:p>
      <w:pPr>
        <w:pStyle w:val="Normal"/>
        <w:numPr>
          <w:ilvl w:val="0"/>
          <w:numId w:val="5"/>
        </w:numPr>
        <w:rPr/>
      </w:pPr>
      <w:r>
        <w:rPr/>
        <w:t>EVS 843 Linnatänavad</w:t>
      </w:r>
    </w:p>
    <w:p>
      <w:pPr>
        <w:pStyle w:val="Normal"/>
        <w:rPr/>
      </w:pPr>
      <w:r>
        <w:rPr/>
      </w:r>
    </w:p>
    <w:p>
      <w:pPr>
        <w:pStyle w:val="Heading2"/>
        <w:numPr>
          <w:ilvl w:val="1"/>
          <w:numId w:val="2"/>
        </w:numPr>
        <w:rPr/>
      </w:pPr>
      <w:bookmarkStart w:id="6" w:name="__RefHeading__272_1161134935"/>
      <w:bookmarkStart w:id="7" w:name="_Toc20987434"/>
      <w:bookmarkEnd w:id="6"/>
      <w:bookmarkEnd w:id="7"/>
      <w:r>
        <w:rPr/>
        <w:t>Olemasolev</w:t>
      </w:r>
    </w:p>
    <w:p>
      <w:pPr>
        <w:pStyle w:val="Normal"/>
        <w:rPr/>
      </w:pPr>
      <w:r>
        <w:rPr/>
        <w:t>Antud projektis ei ole ette nähtud muuta / rekonstrueerida olemasolevat torustiku.</w:t>
      </w:r>
    </w:p>
    <w:p>
      <w:pPr>
        <w:pStyle w:val="Normal"/>
        <w:rPr/>
      </w:pPr>
      <w:r>
        <w:rPr/>
      </w:r>
    </w:p>
    <w:p>
      <w:pPr>
        <w:pStyle w:val="Heading3"/>
        <w:numPr>
          <w:ilvl w:val="2"/>
          <w:numId w:val="2"/>
        </w:numPr>
        <w:rPr/>
      </w:pPr>
      <w:bookmarkStart w:id="8" w:name="__RefHeading__274_1161134935"/>
      <w:bookmarkStart w:id="9" w:name="_Toc20987435"/>
      <w:bookmarkEnd w:id="8"/>
      <w:bookmarkEnd w:id="9"/>
      <w:r>
        <w:rPr/>
        <w:t>Gaasitorustik</w:t>
      </w:r>
    </w:p>
    <w:p>
      <w:pPr>
        <w:pStyle w:val="Normal"/>
        <w:rPr/>
      </w:pPr>
      <w:r>
        <w:rPr/>
        <w:t>Olemasolev gaasitorustik asub väljaspool kinnistu piiri.</w:t>
      </w:r>
    </w:p>
    <w:p>
      <w:pPr>
        <w:pStyle w:val="Normal"/>
        <w:rPr/>
      </w:pPr>
      <w:r>
        <w:rPr/>
      </w:r>
    </w:p>
    <w:p>
      <w:pPr>
        <w:pStyle w:val="Heading3"/>
        <w:numPr>
          <w:ilvl w:val="2"/>
          <w:numId w:val="2"/>
        </w:numPr>
        <w:rPr/>
      </w:pPr>
      <w:bookmarkStart w:id="10" w:name="__RefHeading__276_1161134935"/>
      <w:bookmarkStart w:id="11" w:name="_Toc20987436"/>
      <w:bookmarkEnd w:id="10"/>
      <w:bookmarkEnd w:id="11"/>
      <w:r>
        <w:rPr/>
        <w:t>Gaasi parameetrid ja rõhk</w:t>
      </w:r>
    </w:p>
    <w:p>
      <w:pPr>
        <w:pStyle w:val="Normal"/>
        <w:rPr/>
      </w:pPr>
      <w:r>
        <w:rPr/>
        <w:t>Vastavalt tehniliste tingimustele maksimaalne lubatud gaasikogus liitumispunktis on 150 m</w:t>
      </w:r>
      <w:r>
        <w:rPr>
          <w:vertAlign w:val="superscript"/>
        </w:rPr>
        <w:t>3</w:t>
      </w:r>
      <w:r>
        <w:rPr/>
        <w:t>/h. Minimaalne OP on 3,7 bar ning MOP on 4,0 bar.</w:t>
      </w:r>
    </w:p>
    <w:p>
      <w:pPr>
        <w:pStyle w:val="Normal"/>
        <w:rPr/>
      </w:pPr>
      <w:r>
        <w:rPr/>
      </w:r>
    </w:p>
    <w:p>
      <w:pPr>
        <w:pStyle w:val="Heading2"/>
        <w:numPr>
          <w:ilvl w:val="1"/>
          <w:numId w:val="2"/>
        </w:numPr>
        <w:rPr>
          <w:lang w:val="et-EE"/>
        </w:rPr>
      </w:pPr>
      <w:bookmarkStart w:id="12" w:name="__RefHeading__278_1161134935"/>
      <w:bookmarkStart w:id="13" w:name="_Toc20987437"/>
      <w:bookmarkEnd w:id="12"/>
      <w:bookmarkEnd w:id="13"/>
      <w:r>
        <w:rPr>
          <w:lang w:val="et-EE"/>
        </w:rPr>
        <w:t>Projekteeritud gaasivarustus</w:t>
      </w:r>
    </w:p>
    <w:p>
      <w:pPr>
        <w:pStyle w:val="Heading3"/>
        <w:numPr>
          <w:ilvl w:val="2"/>
          <w:numId w:val="2"/>
        </w:numPr>
        <w:rPr/>
      </w:pPr>
      <w:bookmarkStart w:id="14" w:name="__RefHeading__280_1161134935"/>
      <w:bookmarkStart w:id="15" w:name="_Toc20987438"/>
      <w:bookmarkEnd w:id="14"/>
      <w:bookmarkEnd w:id="15"/>
      <w:r>
        <w:rPr/>
        <w:t>Süsteemi parameetrid</w:t>
      </w:r>
    </w:p>
    <w:p>
      <w:pPr>
        <w:pStyle w:val="Normal"/>
        <w:rPr/>
      </w:pPr>
      <w:r>
        <w:rPr/>
        <w:t xml:space="preserve">Gaasivarustuse välistorustik paigaldatakse alates kinnistupiirist kuni konteinerini. </w:t>
      </w:r>
    </w:p>
    <w:p>
      <w:pPr>
        <w:pStyle w:val="Normal"/>
        <w:rPr/>
      </w:pPr>
      <w:r>
        <w:rPr/>
      </w:r>
    </w:p>
    <w:p>
      <w:pPr>
        <w:pStyle w:val="Heading3"/>
        <w:numPr>
          <w:ilvl w:val="2"/>
          <w:numId w:val="2"/>
        </w:numPr>
        <w:rPr/>
      </w:pPr>
      <w:bookmarkStart w:id="16" w:name="__RefHeading__282_1161134935"/>
      <w:bookmarkStart w:id="17" w:name="_Toc20987439"/>
      <w:bookmarkEnd w:id="16"/>
      <w:bookmarkEnd w:id="17"/>
      <w:r>
        <w:rPr/>
        <w:t>Ühenduskoht olemasoleva gaasisüsteemiga</w:t>
      </w:r>
    </w:p>
    <w:p>
      <w:pPr>
        <w:pStyle w:val="Normal"/>
        <w:rPr/>
      </w:pPr>
      <w:r>
        <w:rPr/>
        <w:t>Ühenduskoht perspektiivse gaasitorustikuga (lahendatakse eraldi projektiga) on kinnistupiiril.</w:t>
      </w:r>
    </w:p>
    <w:p>
      <w:pPr>
        <w:pStyle w:val="Normal"/>
        <w:rPr/>
      </w:pPr>
      <w:r>
        <w:rPr/>
      </w:r>
    </w:p>
    <w:p>
      <w:pPr>
        <w:pStyle w:val="Heading3"/>
        <w:numPr>
          <w:ilvl w:val="2"/>
          <w:numId w:val="2"/>
        </w:numPr>
        <w:rPr/>
      </w:pPr>
      <w:bookmarkStart w:id="18" w:name="__RefHeading__284_1161134935"/>
      <w:bookmarkStart w:id="19" w:name="_Toc20987440"/>
      <w:bookmarkEnd w:id="18"/>
      <w:bookmarkEnd w:id="19"/>
      <w:r>
        <w:rPr/>
        <w:t>Gaasivarustuse rajatised</w:t>
      </w:r>
    </w:p>
    <w:p>
      <w:pPr>
        <w:pStyle w:val="Heading4"/>
        <w:numPr>
          <w:ilvl w:val="3"/>
          <w:numId w:val="2"/>
        </w:numPr>
        <w:rPr/>
      </w:pPr>
      <w:r>
        <w:rPr/>
        <w:t>Välistorustiku paigaldus</w:t>
      </w:r>
    </w:p>
    <w:p>
      <w:pPr>
        <w:pStyle w:val="Normal"/>
        <w:rPr/>
      </w:pPr>
      <w:r>
        <w:rPr/>
        <w:t>Kinnistule paigaldatakse biometaani sõlm mis koosneb järgmistest rajatistest:</w:t>
      </w:r>
    </w:p>
    <w:p>
      <w:pPr>
        <w:pStyle w:val="ListParagraph"/>
        <w:numPr>
          <w:ilvl w:val="0"/>
          <w:numId w:val="7"/>
        </w:numPr>
        <w:rPr/>
      </w:pPr>
      <w:r>
        <w:rPr/>
        <w:t>Biometaani sõlme konteiner, sees on vajalikud seadmed biometaani edastamiseks gaasivõrku</w:t>
      </w:r>
    </w:p>
    <w:p>
      <w:pPr>
        <w:pStyle w:val="ListParagraph"/>
        <w:numPr>
          <w:ilvl w:val="0"/>
          <w:numId w:val="7"/>
        </w:numPr>
        <w:rPr/>
      </w:pPr>
      <w:r>
        <w:rPr/>
        <w:t>Kaks kohta biometaani mahutite jaoks (teisaldatavad)</w:t>
      </w:r>
    </w:p>
    <w:p>
      <w:pPr>
        <w:pStyle w:val="Normal"/>
        <w:rPr/>
      </w:pPr>
      <w:r>
        <w:rPr/>
      </w:r>
    </w:p>
    <w:p>
      <w:pPr>
        <w:pStyle w:val="Heading4"/>
        <w:numPr>
          <w:ilvl w:val="3"/>
          <w:numId w:val="2"/>
        </w:numPr>
        <w:rPr/>
      </w:pPr>
      <w:r>
        <w:rPr/>
        <w:t>Torustiku ja seadmete materjalide valik ning üldised nõuded</w:t>
      </w:r>
    </w:p>
    <w:p>
      <w:pPr>
        <w:pStyle w:val="Normal"/>
        <w:rPr/>
      </w:pPr>
      <w:bookmarkStart w:id="20" w:name="_GoBack"/>
      <w:bookmarkEnd w:id="20"/>
      <w:r>
        <w:rPr/>
        <w:t xml:space="preserve">Maa-alune gaasitorustik on plastikust torustik (PE100). </w:t>
      </w:r>
    </w:p>
    <w:p>
      <w:pPr>
        <w:pStyle w:val="Normal"/>
        <w:rPr/>
      </w:pPr>
      <w:r>
        <w:rPr/>
        <w:t>Projekteeritud gaasitorustiku ristumisel teiste kommunikatsioonidega, lähemal kui 0,5 m, teostada kaevamistöid käsitsi. Ristumisel vee- ja kanalisatsioonitorudega peab vahe olema vastavalt 0,15 m ja 0,20 m, sidekaabliga 0,1 m ning elektrikaabliga 0,3 m.</w:t>
      </w:r>
    </w:p>
    <w:p>
      <w:pPr>
        <w:pStyle w:val="Normal"/>
        <w:rPr/>
      </w:pPr>
      <w:r>
        <w:rPr/>
      </w:r>
    </w:p>
    <w:p>
      <w:pPr>
        <w:pStyle w:val="Normal"/>
        <w:rPr/>
      </w:pPr>
      <w:r>
        <w:rPr/>
        <w:t>Kõik projekteeritud torud paigaldatakse 150 mm paksusele tihendatud liivast alusele. Toru kaetakse pealt vähemalt 200 mm paksuse liivakihiga. Haljasala all on lubatud teostada edasine tagasitäide kohaliku pinnasega. Täitepinnases ei tohi olla orgaanilist materjali, prügi ega suuri kive. Teealuses (sõidu- ja kõnnitee jne) osas peab kaeviku tagasitäide olema tehtud liivaga, mille filtratsioonimoodul on min. 0,5m/ööpäevas. Katete taastamine teostada vastavalt katete taastamise projektile. Plastiktoru külge on ette nähtud kinnitada kontrolltraadiga märkekaabel ja 400 mm kõrgusele torust turvalint „GAAS”.</w:t>
      </w:r>
    </w:p>
    <w:p>
      <w:pPr>
        <w:pStyle w:val="Normal"/>
        <w:rPr/>
      </w:pPr>
      <w:r>
        <w:rPr/>
      </w:r>
    </w:p>
    <w:p>
      <w:pPr>
        <w:pStyle w:val="Normal"/>
        <w:rPr/>
      </w:pPr>
      <w:r>
        <w:rPr/>
        <w:t>Gaasitorustiku ehitamise ajal tuleb jälgida, et võõrkehad (näiteks mustus, vesi, laastud) ei satuks torustikku. Torustikku sattunud võõrkehad tuleb eemaldada. Gaasitorustiku ja armatuuri lahtised otsad tuleb sulgeda sobivate sulguritega.</w:t>
      </w:r>
    </w:p>
    <w:p>
      <w:pPr>
        <w:pStyle w:val="Normal"/>
        <w:rPr/>
      </w:pPr>
      <w:r>
        <w:rPr/>
      </w:r>
    </w:p>
    <w:p>
      <w:pPr>
        <w:pStyle w:val="Normal"/>
        <w:rPr/>
      </w:pPr>
      <w:r>
        <w:rPr/>
        <w:t>Plasttoru kaevikusse laskmisel peab vältima painutamist ja väänamist või muid tegevusi, mis võivad toru üle pingestada. Kui vajalik, peab kasutama planke ja köisi, mitte aga terasest troppe või haaratseid. Toru peab paigaldama pidevalt toetatuna kogu pikkuses, ilma tugiplokke kasutamata. Polüetüleeni suure soojuspaisumise tõttu peab torustik olema paigaldatud küllaldase lõtvusega, et võimaldada kokku tõmbumist.</w:t>
      </w:r>
    </w:p>
    <w:p>
      <w:pPr>
        <w:pStyle w:val="Normal"/>
        <w:rPr/>
      </w:pPr>
      <w:r>
        <w:rPr/>
      </w:r>
    </w:p>
    <w:p>
      <w:pPr>
        <w:pStyle w:val="Normal"/>
        <w:rPr/>
      </w:pPr>
      <w:r>
        <w:rPr/>
        <w:t>PE keevitamist miinustemperatuuridel tuleb teostada soojendatud telgis. Plasti temperatuur peab olema tõstetud üle 0</w:t>
      </w:r>
      <w:r>
        <w:rPr>
          <w:vertAlign w:val="superscript"/>
        </w:rPr>
        <w:t>o</w:t>
      </w:r>
      <w:r>
        <w:rPr/>
        <w:t>C enne sulatamise algust. Toru ja kasutatava liitmiku temperatuurivahe ei tohi ületada 6</w:t>
      </w:r>
      <w:r>
        <w:rPr>
          <w:vertAlign w:val="superscript"/>
        </w:rPr>
        <w:t>o</w:t>
      </w:r>
      <w:r>
        <w:rPr/>
        <w:t>C. Keevituse ajal ei tohi lubada töötsooni liigkiiret jahtumist.</w:t>
      </w:r>
    </w:p>
    <w:p>
      <w:pPr>
        <w:pStyle w:val="Normal"/>
        <w:rPr/>
      </w:pPr>
      <w:r>
        <w:rPr/>
      </w:r>
    </w:p>
    <w:p>
      <w:pPr>
        <w:pStyle w:val="Normal"/>
        <w:rPr/>
      </w:pPr>
      <w:r>
        <w:rPr/>
        <w:t>Terastoru õmbluse kvaliteeti tuleb kontrollida keevistööde välise ülevaatusega kohapeal. Keevisõmbluse väline ülevaatus tuleb teha pärast keevituse lõpetamist visuaalselt, vajadusel kasutades suurendusklaasi. Kontrollimiseks peab keevituse pind olema puhastatud õlist, mustusest, šlakist ja igasugustest kaitsekatetest ning olema heledalt valgustatud. Maa-aluse isoleerimata detailid ning keevisliited tuleb isoleerida. Maa-aluse terastoru isoleerkaitsekatet peab enne toru katmist pinnasega visuaalselt kontrollima ja katsetama aparaadimeetodil.</w:t>
      </w:r>
    </w:p>
    <w:p>
      <w:pPr>
        <w:pStyle w:val="Normal"/>
        <w:rPr/>
      </w:pPr>
      <w:r>
        <w:rPr/>
      </w:r>
    </w:p>
    <w:p>
      <w:pPr>
        <w:pStyle w:val="Normal"/>
        <w:rPr/>
      </w:pPr>
      <w:r>
        <w:rPr/>
        <w:t>Keevisliidete visuaalsel kontrollil hinnata kvaliteeti EVS-EN ISO 5817 taseme C järgi. Keermes liide peab vastama EN 10226 ja tihendusmaterjal EN 751 nõuetele. Keevisliidetest kuuluvad läbivalgustamisele põkkliited mahus 10% keeviste arvust B-kategooria puhul.</w:t>
      </w:r>
    </w:p>
    <w:p>
      <w:pPr>
        <w:pStyle w:val="Normal"/>
        <w:rPr/>
      </w:pPr>
      <w:r>
        <w:rPr/>
      </w:r>
    </w:p>
    <w:p>
      <w:pPr>
        <w:pStyle w:val="Normal"/>
        <w:rPr/>
      </w:pPr>
      <w:r>
        <w:rPr/>
        <w:t>Gaasitorustikku võib kasutusele võtta pärast edukat surve- ja lekkeproovide läbimist ning kasutusloa saamist. Enne proovimist peavad kõik torustiku lahtised otsad olema suletud. Iga sulgemiseks kasutatav abinõu peab olema lekkekindel ja võimeline taluma proovirõhku. Surve- ja lekkeproovi rõhud:</w:t>
      </w:r>
    </w:p>
    <w:p>
      <w:pPr>
        <w:pStyle w:val="ListParagraph"/>
        <w:numPr>
          <w:ilvl w:val="0"/>
          <w:numId w:val="6"/>
        </w:numPr>
        <w:rPr/>
      </w:pPr>
      <w:r>
        <w:rPr/>
        <w:t>B-kategooria: 6 bar</w:t>
      </w:r>
    </w:p>
    <w:p>
      <w:pPr>
        <w:pStyle w:val="Normal"/>
        <w:rPr/>
      </w:pPr>
      <w:r>
        <w:rPr/>
      </w:r>
    </w:p>
    <w:p>
      <w:pPr>
        <w:pStyle w:val="Normal"/>
        <w:rPr/>
      </w:pPr>
      <w:r>
        <w:rPr/>
      </w:r>
    </w:p>
    <w:p>
      <w:pPr>
        <w:pStyle w:val="Normal"/>
        <w:rPr/>
      </w:pPr>
      <w:r>
        <w:rPr/>
      </w:r>
    </w:p>
    <w:sectPr>
      <w:footerReference w:type="default" r:id="rId3"/>
      <w:type w:val="nextPage"/>
      <w:pgSz w:w="11906" w:h="16820"/>
      <w:pgMar w:left="2835" w:right="1415" w:header="0" w:top="454" w:footer="680" w:bottom="1135" w:gutter="0"/>
      <w:pgNumType w:start="2" w:fmt="decimal"/>
      <w:formProt w:val="false"/>
      <w:textDirection w:val="lrTb"/>
      <w:docGrid w:type="default" w:linePitch="36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ba"/>
    <w:family w:val="roman"/>
    <w:pitch w:val="variable"/>
  </w:font>
  <w:font w:name="NewsGoth Cn TL">
    <w:charset w:val="ba"/>
    <w:family w:val="roman"/>
    <w:pitch w:val="variable"/>
  </w:font>
  <w:font w:name="Lucida Grande">
    <w:charset w:val="ba"/>
    <w:family w:val="roman"/>
    <w:pitch w:val="variable"/>
  </w:font>
  <w:font w:name="Liberation Sans">
    <w:altName w:val="Arial"/>
    <w:charset w:val="ba"/>
    <w:family w:val="swiss"/>
    <w:pitch w:val="variable"/>
  </w:font>
  <w:font w:name="Arial">
    <w:charset w:val="ba"/>
    <w:family w:val="roman"/>
    <w:pitch w:val="variable"/>
  </w:font>
  <w:font w:name="Calibri Light">
    <w:charset w:val="ba"/>
    <w:family w:val="swiss"/>
    <w:pitch w:val="variable"/>
  </w:font>
  <w:font w:name="News Gothic Condensed BT">
    <w:charset w:val="ba"/>
    <w:family w:val="roman"/>
    <w:pitch w:val="variable"/>
  </w:font>
  <w:font w:name="Courier New">
    <w:charset w:val="01"/>
    <w:family w:val="modern"/>
    <w:pitch w:val="fixed"/>
  </w:font>
  <w:font w:name="Wingdings">
    <w:charset w:val="02"/>
    <w:family w:val="auto"/>
    <w:pitch w:val="variable"/>
  </w:font>
  <w:font w:name="NewsGoth Cn TL">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tbl>
    <w:tblPr>
      <w:jc w:val="left"/>
      <w:tblInd w:w="0" w:type="dxa"/>
      <w:tblBorders>
        <w:top w:val="nil"/>
        <w:left w:val="nil"/>
        <w:bottom w:val="nil"/>
        <w:insideH w:val="nil"/>
        <w:right w:val="nil"/>
        <w:insideV w:val="nil"/>
      </w:tblBorders>
      <w:tblCellMar>
        <w:top w:w="0" w:type="dxa"/>
        <w:left w:w="108" w:type="dxa"/>
        <w:bottom w:w="0" w:type="dxa"/>
        <w:right w:w="108" w:type="dxa"/>
      </w:tblCellMar>
    </w:tblPr>
    <w:tblGrid>
      <w:gridCol w:w="1383"/>
      <w:gridCol w:w="4960"/>
      <w:gridCol w:w="1562"/>
    </w:tblGrid>
    <w:tr>
      <w:trPr>
        <w:cantSplit w:val="false"/>
      </w:trPr>
      <w:tc>
        <w:tcPr>
          <w:tcW w:w="1383" w:type="dxa"/>
          <w:tcBorders>
            <w:top w:val="nil"/>
            <w:left w:val="nil"/>
            <w:bottom w:val="nil"/>
            <w:insideH w:val="nil"/>
            <w:right w:val="nil"/>
            <w:insideV w:val="nil"/>
          </w:tcBorders>
          <w:shd w:fill="FFFFFF" w:val="clear"/>
        </w:tcPr>
        <w:p>
          <w:pPr>
            <w:pStyle w:val="Normal"/>
            <w:rPr/>
          </w:pPr>
          <w:r>
            <w:rPr/>
            <w:t>3.10.19</w:t>
          </w:r>
          <w:r>
            <w:pict>
              <v:rect fillcolor="#FFFFFF" style="position:absolute;width:20.35pt;height:11.65pt;mso-wrap-distance-left:-0.05pt;mso-wrap-distance-right:-0.05pt;mso-wrap-distance-top:0pt;mso-wrap-distance-bottom:0pt;margin-top:0.05pt;margin-left:362.5pt">
                <v:fill opacity="0f"/>
                <v:textbox inset="0in,0in,0in,0in">
                  <w:txbxContent>
                    <w:p>
                      <w:pPr>
                        <w:pStyle w:val="Footer"/>
                        <w:pBdr>
                          <w:top w:val="nil"/>
                          <w:left w:val="nil"/>
                          <w:bottom w:val="nil"/>
                          <w:right w:val="nil"/>
                        </w:pBdr>
                        <w:rPr>
                          <w:rStyle w:val="Pagenumber"/>
                          <w:szCs w:val="20"/>
                        </w:rPr>
                      </w:pPr>
                      <w:r>
                        <w:rPr>
                          <w:rStyle w:val="Pagenumber"/>
                          <w:szCs w:val="20"/>
                        </w:rPr>
                        <w:fldChar w:fldCharType="begin"/>
                      </w:r>
                      <w:r>
                        <w:instrText> PAGE </w:instrText>
                      </w:r>
                      <w:r>
                        <w:fldChar w:fldCharType="separate"/>
                      </w:r>
                      <w:r>
                        <w:t>5</w:t>
                      </w:r>
                      <w:r>
                        <w:fldChar w:fldCharType="end"/>
                      </w:r>
                      <w:r>
                        <w:rPr>
                          <w:rStyle w:val="Pagenumber"/>
                          <w:rFonts w:ascii="News Gothic Condensed BT" w:hAnsi="News Gothic Condensed BT"/>
                          <w:szCs w:val="20"/>
                        </w:rPr>
                        <w:t>/</w:t>
                      </w:r>
                      <w:r>
                        <w:rPr>
                          <w:rStyle w:val="Pagenumber"/>
                          <w:rFonts w:ascii="News Gothic Condensed BT" w:hAnsi="News Gothic Condensed BT"/>
                          <w:szCs w:val="20"/>
                        </w:rPr>
                        <w:fldChar w:fldCharType="begin"/>
                      </w:r>
                      <w:r>
                        <w:instrText> NUMPAGES \*Arabic </w:instrText>
                      </w:r>
                      <w:r>
                        <w:fldChar w:fldCharType="separate"/>
                      </w:r>
                      <w:r>
                        <w:t>5</w:t>
                      </w:r>
                      <w:r>
                        <w:fldChar w:fldCharType="end"/>
                      </w:r>
                      <w:r>
                        <w:rPr>
                          <w:rStyle w:val="Pagenumber"/>
                          <w:szCs w:val="20"/>
                        </w:rPr>
                        <w:t>5</w:t>
                      </w:r>
                    </w:p>
                  </w:txbxContent>
                </v:textbox>
                <w10:wrap type="square" side="largest"/>
              </v:rect>
            </w:pict>
          </w:r>
        </w:p>
      </w:tc>
      <w:tc>
        <w:tcPr>
          <w:tcW w:w="4960" w:type="dxa"/>
          <w:tcBorders>
            <w:top w:val="nil"/>
            <w:left w:val="nil"/>
            <w:bottom w:val="nil"/>
            <w:insideH w:val="nil"/>
            <w:right w:val="nil"/>
            <w:insideV w:val="nil"/>
          </w:tcBorders>
          <w:shd w:fill="FFFFFF" w:val="clear"/>
        </w:tcPr>
        <w:p>
          <w:pPr>
            <w:pStyle w:val="Normal"/>
            <w:jc w:val="center"/>
            <w:rPr/>
          </w:pPr>
          <w:r>
            <w:rPr/>
            <w:t>19087</w:t>
          </w:r>
        </w:p>
      </w:tc>
      <w:tc>
        <w:tcPr>
          <w:tcW w:w="1562" w:type="dxa"/>
          <w:tcBorders>
            <w:top w:val="nil"/>
            <w:left w:val="nil"/>
            <w:bottom w:val="nil"/>
            <w:insideH w:val="nil"/>
            <w:right w:val="nil"/>
            <w:insideV w:val="nil"/>
          </w:tcBorders>
          <w:shd w:fill="FFFFFF" w:val="clear"/>
        </w:tcPr>
        <w:p>
          <w:pPr>
            <w:pStyle w:val="Normal"/>
            <w:rPr/>
          </w:pPr>
          <w:r>
            <w:rPr/>
            <w:fldChar w:fldCharType="begin"/>
          </w:r>
          <w:r>
            <w:instrText> COMMENTS </w:instrText>
          </w:r>
          <w:r>
            <w:fldChar w:fldCharType="separate"/>
          </w:r>
          <w:r/>
          <w:r>
            <w:fldChar w:fldCharType="end"/>
          </w:r>
        </w:p>
      </w:tc>
    </w:tr>
    <w:tr>
      <w:trPr>
        <w:cantSplit w:val="false"/>
      </w:trPr>
      <w:tc>
        <w:tcPr>
          <w:tcW w:w="1383" w:type="dxa"/>
          <w:tcBorders>
            <w:top w:val="nil"/>
            <w:left w:val="nil"/>
            <w:bottom w:val="nil"/>
            <w:insideH w:val="nil"/>
            <w:right w:val="nil"/>
            <w:insideV w:val="nil"/>
          </w:tcBorders>
          <w:shd w:fill="FFFFFF" w:val="clear"/>
        </w:tcPr>
        <w:p>
          <w:pPr>
            <w:pStyle w:val="Normal"/>
            <w:rPr/>
          </w:pPr>
          <w:r>
            <w:rPr/>
          </w:r>
        </w:p>
      </w:tc>
      <w:tc>
        <w:tcPr>
          <w:tcW w:w="4960" w:type="dxa"/>
          <w:tcBorders>
            <w:top w:val="nil"/>
            <w:left w:val="nil"/>
            <w:bottom w:val="nil"/>
            <w:insideH w:val="nil"/>
            <w:right w:val="nil"/>
            <w:insideV w:val="nil"/>
          </w:tcBorders>
          <w:shd w:fill="FFFFFF" w:val="clear"/>
        </w:tcPr>
        <w:p>
          <w:pPr>
            <w:pStyle w:val="Normal"/>
            <w:jc w:val="center"/>
            <w:rPr/>
          </w:pPr>
          <w:r>
            <w:rPr/>
            <w:t xml:space="preserve">Viljandi, </w:t>
          </w:r>
        </w:p>
      </w:tc>
      <w:tc>
        <w:tcPr>
          <w:tcW w:w="1562" w:type="dxa"/>
          <w:tcBorders>
            <w:top w:val="nil"/>
            <w:left w:val="nil"/>
            <w:bottom w:val="nil"/>
            <w:insideH w:val="nil"/>
            <w:right w:val="nil"/>
            <w:insideV w:val="nil"/>
          </w:tcBorders>
          <w:shd w:fill="FFFFFF" w:val="clear"/>
        </w:tcPr>
        <w:p>
          <w:pPr>
            <w:pStyle w:val="Normal"/>
            <w:jc w:val="right"/>
            <w:rPr/>
          </w:pPr>
          <w:r>
            <w:rPr/>
            <w:t>Ehitusprojekt</w:t>
          </w:r>
        </w:p>
      </w:tc>
    </w:tr>
  </w:tbl>
  <w:p>
    <w:pPr>
      <w:pStyle w:val="Footer"/>
      <w:tabs>
        <w:tab w:val="left" w:pos="3180" w:leader="none"/>
      </w:tabs>
      <w:ind w:left="0" w:right="360" w:hanging="0"/>
      <w:rPr>
        <w:rFonts w:ascii="News Gothic Condensed BT" w:hAnsi="News Gothic Condensed BT"/>
        <w:sz w:val="8"/>
        <w:szCs w:val="16"/>
      </w:rPr>
    </w:pPr>
    <w:r>
      <w:rPr>
        <w:rFonts w:ascii="News Gothic Condensed BT" w:hAnsi="News Gothic Condensed BT"/>
        <w:sz w:val="8"/>
        <w:szCs w:val="16"/>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decimal"/>
      <w:lvlText w:val="%1."/>
      <w:lvlJc w:val="left"/>
      <w:pPr>
        <w:ind w:left="360" w:hanging="360"/>
      </w:pPr>
    </w:lvl>
    <w:lvl w:ilvl="1">
      <w:start w:val="1"/>
      <w:numFmt w:val="decimal"/>
      <w:lvlText w:val="%1.%2."/>
      <w:lvlJc w:val="left"/>
      <w:pPr>
        <w:ind w:left="357" w:hanging="-3"/>
      </w:pPr>
    </w:lvl>
    <w:lvl w:ilvl="2">
      <w:start w:val="1"/>
      <w:numFmt w:val="decimal"/>
      <w:lvlText w:val="%1.%2.%3."/>
      <w:lvlJc w:val="left"/>
      <w:pPr>
        <w:ind w:left="357" w:hanging="-363"/>
      </w:pPr>
    </w:lvl>
    <w:lvl w:ilvl="3">
      <w:start w:val="1"/>
      <w:numFmt w:val="decimal"/>
      <w:lvlText w:val="%1.%2.%3.%4."/>
      <w:lvlJc w:val="left"/>
      <w:pPr>
        <w:ind w:left="357" w:hanging="-723"/>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lvl w:ilvl="0">
      <w:start w:val="1"/>
      <w:numFmt w:val="bullet"/>
      <w:lvlText w:val="-"/>
      <w:lvlJc w:val="left"/>
      <w:pPr>
        <w:ind w:left="720" w:hanging="360"/>
      </w:pPr>
      <w:rPr>
        <w:rFonts w:ascii="NewsGoth Cn TL" w:hAnsi="NewsGoth Cn TL" w:cs="NewsGoth Cn T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lvl w:ilvl="0">
      <w:start w:val="8"/>
      <w:numFmt w:val="bullet"/>
      <w:lvlText w:val="-"/>
      <w:lvlJc w:val="left"/>
      <w:pPr>
        <w:ind w:left="720" w:hanging="360"/>
      </w:pPr>
      <w:rPr>
        <w:rFonts w:ascii="NewsGoth Cn TL" w:hAnsi="NewsGoth Cn TL" w:cs="NewsGoth Cn T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lvl w:ilvl="0">
      <w:start w:val="1"/>
      <w:numFmt w:val="decimal"/>
      <w:lvlText w:val="%1."/>
      <w:lvlJc w:val="left"/>
      <w:pPr>
        <w:ind w:left="360" w:hanging="360"/>
      </w:pPr>
    </w:lvl>
    <w:lvl w:ilvl="1">
      <w:start w:val="1"/>
      <w:numFmt w:val="decimal"/>
      <w:lvlText w:val="%1.%2."/>
      <w:lvlJc w:val="left"/>
      <w:pPr>
        <w:ind w:left="357" w:hanging="-3"/>
      </w:pPr>
    </w:lvl>
    <w:lvl w:ilvl="2">
      <w:start w:val="1"/>
      <w:numFmt w:val="decimal"/>
      <w:lvlText w:val="%1.%2.%3."/>
      <w:lvlJc w:val="left"/>
      <w:pPr>
        <w:ind w:left="357" w:hanging="-363"/>
      </w:pPr>
    </w:lvl>
    <w:lvl w:ilvl="3">
      <w:start w:val="1"/>
      <w:numFmt w:val="decimal"/>
      <w:lvlText w:val="%1.%2.%3.%4."/>
      <w:lvlJc w:val="left"/>
      <w:pPr>
        <w:ind w:left="357" w:hanging="-723"/>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00"/>
  <w:displayBackgroundShape/>
  <w:defaultTabStop w:val="720"/>
</w:settings>
</file>

<file path=word/styles.xml><?xml version="1.0" encoding="utf-8"?>
<w:styles xmlns:w="http://schemas.openxmlformats.org/wordprocessingml/2006/main">
  <w:docDefaults>
    <w:rPrDefault>
      <w:rPr>
        <w:rFonts w:ascii="NewsGoth Cn TL" w:hAnsi="NewsGoth Cn TL" w:eastAsia="Times New Roman" w:cs="Arial"/>
        <w:lang w:val="et-EE" w:eastAsia="et-EE" w:bidi="ar-SA"/>
      </w:rPr>
    </w:rPrDefault>
    <w:pPrDefault>
      <w:pPr/>
    </w:pPrDefault>
  </w:docDefaults>
  <w:latentStyles w:count="377" w:defQFormat="0" w:defUnhideWhenUsed="0" w:defSemiHidden="0" w:defUIPriority="0" w:defLockedState="0">
    <w:lsdException w:qFormat="1" w:name="Normal"/>
    <w:lsdException w:qFormat="1" w:name="heading 1"/>
    <w:lsdException w:qFormat="1" w:name="heading 2"/>
    <w:lsdException w:qFormat="1" w:unhideWhenUsed="1" w:semiHidden="1" w:name="heading 3"/>
    <w:lsdException w:qFormat="1" w:unhideWhenUsed="1" w:semiHidden="1" w:name="heading 4"/>
    <w:lsdException w:qFormat="1" w:unhideWhenUsed="1" w:semiHidden="1" w:name="heading 5"/>
    <w:lsdException w:qFormat="1" w:unhideWhenUsed="1" w:semiHidden="1" w:name="heading 6"/>
    <w:lsdException w:qFormat="1" w:unhideWhenUsed="1" w:semiHidden="1" w:name="heading 7"/>
    <w:lsdException w:qFormat="1" w:unhideWhenUsed="1" w:semiHidden="1" w:name="heading 8"/>
    <w:lsdException w:qFormat="1" w:unhideWhenUsed="1" w:semiHidden="1" w:name="heading 9"/>
    <w:lsdException w:uiPriority="39" w:name="toc 1"/>
    <w:lsdException w:uiPriority="39" w:name="toc 2"/>
    <w:lsdException w:uiPriority="39" w:name="toc 3"/>
    <w:lsdException w:uiPriority="99" w:name="header"/>
    <w:lsdException w:qFormat="1" w:unhideWhenUsed="1" w:semiHidden="1" w:name="caption"/>
    <w:lsdException w:qFormat="1" w:name="Title"/>
    <w:lsdException w:qFormat="1" w:name="Subtitle"/>
    <w:lsdException w:uiPriority="99" w:name="Hyperlink"/>
    <w:lsdException w:qFormat="1" w:name="Strong"/>
    <w:lsdException w:qFormat="1" w:name="Emphasis"/>
    <w:lsdException w:unhideWhenUsed="1" w:semiHidden="1" w:name="HTML Keyboard"/>
    <w:lsdException w:unhideWhenUsed="1" w:semiHidden="1" w:name="HTML Variable"/>
    <w:lsdException w:unhideWhenUsed="1" w:semiHidden="1" w:name="Normal Table"/>
    <w:lsdException w:unhideWhenUsed="1" w:semiHidden="1" w:name="annotation subject"/>
    <w:lsdException w:unhideWhenUsed="1" w:semiHidden="1" w:name="No List"/>
    <w:lsdException w:unhideWhenUsed="1" w:semiHidden="1" w:name="Outline List 1"/>
    <w:lsdException w:unhideWhenUsed="1" w:semiHidden="1" w:name="Outline List 2"/>
    <w:lsdException w:unhideWhenUsed="1" w:semiHidden="1" w:name="Outline List 3"/>
    <w:lsdException w:unhideWhenUsed="1" w:semiHidden="1" w:name="Table Simple 1"/>
    <w:lsdException w:unhideWhenUsed="1" w:semiHidden="1" w:name="Table Simple 2"/>
    <w:lsdException w:unhideWhenUsed="1" w:semiHidden="1" w:name="Table Simple 3"/>
    <w:lsdException w:unhideWhenUsed="1" w:semiHidden="1" w:name="Table Classic 1"/>
    <w:lsdException w:unhideWhenUsed="1" w:semiHidden="1" w:name="Table Classic 2"/>
    <w:lsdException w:unhideWhenUsed="1" w:semiHidden="1" w:name="Table Classic 3"/>
    <w:lsdException w:unhideWhenUsed="1" w:semiHidden="1" w:name="Table Classic 4"/>
    <w:lsdException w:unhideWhenUsed="1" w:semiHidden="1" w:name="Table Colorful 1"/>
    <w:lsdException w:unhideWhenUsed="1" w:semiHidden="1" w:name="Table Colorful 2"/>
    <w:lsdException w:unhideWhenUsed="1" w:semiHidden="1" w:name="Table Colorful 3"/>
    <w:lsdException w:unhideWhenUsed="1" w:semiHidden="1" w:name="Table Columns 1"/>
    <w:lsdException w:unhideWhenUsed="1" w:semiHidden="1" w:name="Table Columns 2"/>
    <w:lsdException w:unhideWhenUsed="1" w:semiHidden="1" w:name="Table Columns 3"/>
    <w:lsdException w:unhideWhenUsed="1" w:semiHidden="1" w:name="Table Columns 4"/>
    <w:lsdException w:unhideWhenUsed="1" w:semiHidden="1" w:name="Table Columns 5"/>
    <w:lsdException w:unhideWhenUsed="1" w:semiHidden="1" w:name="Table Grid 1"/>
    <w:lsdException w:unhideWhenUsed="1" w:semiHidden="1" w:name="Table Grid 2"/>
    <w:lsdException w:unhideWhenUsed="1" w:semiHidden="1" w:name="Table Grid 3"/>
    <w:lsdException w:unhideWhenUsed="1" w:semiHidden="1" w:name="Table Grid 4"/>
    <w:lsdException w:unhideWhenUsed="1" w:semiHidden="1" w:name="Table Grid 5"/>
    <w:lsdException w:unhideWhenUsed="1" w:semiHidden="1" w:name="Table Grid 6"/>
    <w:lsdException w:unhideWhenUsed="1" w:semiHidden="1" w:name="Table Grid 7"/>
    <w:lsdException w:unhideWhenUsed="1" w:semiHidden="1" w:name="Table Grid 8"/>
    <w:lsdException w:unhideWhenUsed="1" w:semiHidden="1" w:name="Table List 1"/>
    <w:lsdException w:unhideWhenUsed="1" w:semiHidden="1" w:name="Table List 2"/>
    <w:lsdException w:unhideWhenUsed="1" w:semiHidden="1" w:name="Table List 3"/>
    <w:lsdException w:unhideWhenUsed="1" w:semiHidden="1" w:name="Table List 4"/>
    <w:lsdException w:unhideWhenUsed="1" w:semiHidden="1" w:name="Table List 5"/>
    <w:lsdException w:unhideWhenUsed="1" w:semiHidden="1" w:name="Table List 6"/>
    <w:lsdException w:unhideWhenUsed="1" w:semiHidden="1" w:name="Table List 7"/>
    <w:lsdException w:unhideWhenUsed="1" w:semiHidden="1" w:name="Table List 8"/>
    <w:lsdException w:unhideWhenUsed="1" w:semiHidden="1" w:name="Table 3D effects 1"/>
    <w:lsdException w:unhideWhenUsed="1" w:semiHidden="1" w:name="Table 3D effects 2"/>
    <w:lsdException w:unhideWhenUsed="1" w:semiHidden="1" w:name="Table 3D effects 3"/>
    <w:lsdException w:unhideWhenUsed="1" w:semiHidden="1" w:name="Table Contemporary"/>
    <w:lsdException w:unhideWhenUsed="1" w:semiHidden="1" w:name="Table Elegant"/>
    <w:lsdException w:unhideWhenUsed="1" w:semiHidden="1" w:name="Table Professional"/>
    <w:lsdException w:unhideWhenUsed="1" w:semiHidden="1" w:name="Table Subtle 1"/>
    <w:lsdException w:unhideWhenUsed="1" w:semiHidden="1" w:name="Table Subtle 2"/>
    <w:lsdException w:unhideWhenUsed="1" w:semiHidden="1" w:name="Table Web 1"/>
    <w:lsdException w:unhideWhenUsed="1" w:semiHidden="1" w:name="Table Web 2"/>
    <w:lsdException w:unhideWhenUsed="1" w:semiHidden="1" w:name="Table Web 3"/>
    <w:lsdException w:unhideWhenUsed="1" w:semiHidden="1" w:name="Balloon Text"/>
    <w:lsdException w:unhideWhenUsed="1" w:semiHidden="1" w:name="Table Theme"/>
    <w:lsdException w:unhideWhenUsed="1" w:semiHidden="1" w:uiPriority="99" w:name="Placeholder Text"/>
    <w:lsdException w:qFormat="1" w:uiPriority="99" w:name="No Spacing"/>
    <w:lsdException w:uiPriority="99" w:name="Light Shading"/>
    <w:lsdException w:uiPriority="99" w:name="Light List"/>
    <w:lsdException w:uiPriority="99" w:name="Light Grid"/>
    <w:lsdException w:uiPriority="99" w:name="Medium Shading 1"/>
    <w:lsdException w:uiPriority="99" w:name="Medium Shading 2"/>
    <w:lsdException w:uiPriority="99" w:name="Medium List 1"/>
    <w:lsdException w:uiPriority="99" w:name="Medium List 2"/>
    <w:lsdException w:uiPriority="99" w:name="Medium Grid 1"/>
    <w:lsdException w:qFormat="1" w:uiPriority="1" w:name="Medium Grid 2"/>
    <w:lsdException w:uiPriority="60" w:name="Medium Grid 3"/>
    <w:lsdException w:uiPriority="61" w:name="Dark List"/>
    <w:lsdException w:uiPriority="62" w:name="Colorful Shading"/>
    <w:lsdException w:uiPriority="63" w:name="Colorful List"/>
    <w:lsdException w:uiPriority="64" w:name="Colorful Grid"/>
    <w:lsdException w:uiPriority="65" w:name="Light Shading Accent 1"/>
    <w:lsdException w:uiPriority="66" w:name="Light List Accent 1"/>
    <w:lsdException w:uiPriority="67" w:name="Light Grid Accent 1"/>
    <w:lsdException w:uiPriority="68" w:name="Medium Shading 1 Accent 1"/>
    <w:lsdException w:uiPriority="69" w:name="Medium Shading 2 Accent 1"/>
    <w:lsdException w:uiPriority="70" w:name="Medium List 1 Accent 1"/>
    <w:lsdException w:semiHidden="1" w:uiPriority="71" w:name="Revision"/>
    <w:lsdException w:qFormat="1" w:uiPriority="72" w:name="List Paragraph"/>
    <w:lsdException w:qFormat="1" w:uiPriority="73" w:name="Quote"/>
    <w:lsdException w:qFormat="1" w:uiPriority="60" w:name="Intense Quote"/>
    <w:lsdException w:uiPriority="61" w:name="Medium List 2 Accent 1"/>
    <w:lsdException w:uiPriority="62" w:name="Medium Grid 1 Accent 1"/>
    <w:lsdException w:uiPriority="63" w:name="Medium Grid 2 Accent 1"/>
    <w:lsdException w:uiPriority="64" w:name="Medium Grid 3 Accent 1"/>
    <w:lsdException w:uiPriority="65" w:name="Dark List Accent 1"/>
    <w:lsdException w:uiPriority="99" w:name="Colorful Shading Accent 1"/>
    <w:lsdException w:qFormat="1" w:uiPriority="34" w:name="Colorful List Accent 1"/>
    <w:lsdException w:qFormat="1" w:uiPriority="29" w:name="Colorful Grid Accent 1"/>
    <w:lsdException w:qFormat="1" w:uiPriority="30" w:name="Light Shading Accent 2"/>
    <w:lsdException w:uiPriority="66" w:name="Light List Accent 2"/>
    <w:lsdException w:uiPriority="67" w:name="Light Grid Accent 2"/>
    <w:lsdException w:uiPriority="68" w:name="Medium Shading 1 Accent 2"/>
    <w:lsdException w:uiPriority="69" w:name="Medium Shading 2 Accent 2"/>
    <w:lsdException w:uiPriority="70" w:name="Medium List 1 Accent 2"/>
    <w:lsdException w:uiPriority="71" w:name="Medium List 2 Accent 2"/>
    <w:lsdException w:uiPriority="72" w:name="Medium Grid 1 Accent 2"/>
    <w:lsdException w:uiPriority="73" w:name="Medium Grid 2 Accent 2"/>
    <w:lsdException w:uiPriority="60" w:name="Medium Grid 3 Accent 2"/>
    <w:lsdException w:uiPriority="61" w:name="Dark List Accent 2"/>
    <w:lsdException w:uiPriority="62" w:name="Colorful Shading Accent 2"/>
    <w:lsdException w:uiPriority="63" w:name="Colorful List Accent 2"/>
    <w:lsdException w:uiPriority="64" w:name="Colorful Grid Accent 2"/>
    <w:lsdException w:uiPriority="65" w:name="Light Shading Accent 3"/>
    <w:lsdException w:uiPriority="66" w:name="Light List Accent 3"/>
    <w:lsdException w:uiPriority="67" w:name="Light Grid Accent 3"/>
    <w:lsdException w:uiPriority="68" w:name="Medium Shading 1 Accent 3"/>
    <w:lsdException w:uiPriority="69" w:name="Medium Shading 2 Accent 3"/>
    <w:lsdException w:uiPriority="70" w:name="Medium List 1 Accent 3"/>
    <w:lsdException w:uiPriority="71" w:name="Medium List 2 Accent 3"/>
    <w:lsdException w:uiPriority="72" w:name="Medium Grid 1 Accent 3"/>
    <w:lsdException w:uiPriority="73" w:name="Medium Grid 2 Accent 3"/>
    <w:lsdException w:uiPriority="60" w:name="Medium Grid 3 Accent 3"/>
    <w:lsdException w:uiPriority="61" w:name="Dark List Accent 3"/>
    <w:lsdException w:uiPriority="62" w:name="Colorful Shading Accent 3"/>
    <w:lsdException w:uiPriority="63" w:name="Colorful List Accent 3"/>
    <w:lsdException w:uiPriority="64" w:name="Colorful Grid Accent 3"/>
    <w:lsdException w:uiPriority="65" w:name="Light Shading Accent 4"/>
    <w:lsdException w:uiPriority="66" w:name="Light List Accent 4"/>
    <w:lsdException w:uiPriority="67" w:name="Light Grid Accent 4"/>
    <w:lsdException w:uiPriority="68" w:name="Medium Shading 1 Accent 4"/>
    <w:lsdException w:uiPriority="69" w:name="Medium Shading 2 Accent 4"/>
    <w:lsdException w:uiPriority="70" w:name="Medium List 1 Accent 4"/>
    <w:lsdException w:uiPriority="71" w:name="Medium List 2 Accent 4"/>
    <w:lsdException w:uiPriority="72" w:name="Medium Grid 1 Accent 4"/>
    <w:lsdException w:uiPriority="73" w:name="Medium Grid 2 Accent 4"/>
    <w:lsdException w:uiPriority="60" w:name="Medium Grid 3 Accent 4"/>
    <w:lsdException w:uiPriority="61" w:name="Dark List Accent 4"/>
    <w:lsdException w:uiPriority="62" w:name="Colorful Shading Accent 4"/>
    <w:lsdException w:uiPriority="63" w:name="Colorful List Accent 4"/>
    <w:lsdException w:uiPriority="64" w:name="Colorful Grid Accent 4"/>
    <w:lsdException w:uiPriority="65" w:name="Light Shading Accent 5"/>
    <w:lsdException w:uiPriority="66" w:name="Light List Accent 5"/>
    <w:lsdException w:uiPriority="67" w:name="Light Grid Accent 5"/>
    <w:lsdException w:uiPriority="68" w:name="Medium Shading 1 Accent 5"/>
    <w:lsdException w:uiPriority="69" w:name="Medium Shading 2 Accent 5"/>
    <w:lsdException w:uiPriority="70" w:name="Medium List 1 Accent 5"/>
    <w:lsdException w:uiPriority="71" w:name="Medium List 2 Accent 5"/>
    <w:lsdException w:uiPriority="72" w:name="Medium Grid 1 Accent 5"/>
    <w:lsdException w:uiPriority="73" w:name="Medium Grid 2 Accent 5"/>
    <w:lsdException w:uiPriority="60" w:name="Medium Grid 3 Accent 5"/>
    <w:lsdException w:uiPriority="61" w:name="Dark List Accent 5"/>
    <w:lsdException w:uiPriority="62" w:name="Colorful Shading Accent 5"/>
    <w:lsdException w:uiPriority="63" w:name="Colorful List Accent 5"/>
    <w:lsdException w:uiPriority="64" w:name="Colorful Grid Accent 5"/>
    <w:lsdException w:uiPriority="65" w:name="Light Shading Accent 6"/>
    <w:lsdException w:uiPriority="66" w:name="Light List Accent 6"/>
    <w:lsdException w:uiPriority="67" w:name="Light Grid Accent 6"/>
    <w:lsdException w:uiPriority="68" w:name="Medium Shading 1 Accent 6"/>
    <w:lsdException w:uiPriority="69" w:name="Medium Shading 2 Accent 6"/>
    <w:lsdException w:uiPriority="70" w:name="Medium List 1 Accent 6"/>
    <w:lsdException w:uiPriority="71" w:name="Medium List 2 Accent 6"/>
    <w:lsdException w:uiPriority="72" w:name="Medium Grid 1 Accent 6"/>
    <w:lsdException w:uiPriority="73" w:name="Medium Grid 2 Accent 6"/>
    <w:lsdException w:uiPriority="60" w:name="Medium Grid 3 Accent 6"/>
    <w:lsdException w:uiPriority="61" w:name="Dark List Accent 6"/>
    <w:lsdException w:uiPriority="62" w:name="Colorful Shading Accent 6"/>
    <w:lsdException w:uiPriority="63" w:name="Colorful List Accent 6"/>
    <w:lsdException w:uiPriority="64" w:name="Colorful Grid Accent 6"/>
    <w:lsdException w:qFormat="1" w:uiPriority="65" w:name="Subtle Emphasis"/>
    <w:lsdException w:qFormat="1" w:uiPriority="66" w:name="Intense Emphasis"/>
    <w:lsdException w:qFormat="1" w:uiPriority="67" w:name="Subtle Reference"/>
    <w:lsdException w:qFormat="1" w:uiPriority="68" w:name="Intense Reference"/>
    <w:lsdException w:qFormat="1" w:uiPriority="69" w:name="Book Title"/>
    <w:lsdException w:unhideWhenUsed="1" w:semiHidden="1" w:uiPriority="70" w:name="Bibliography"/>
    <w:lsdException w:qFormat="1" w:unhideWhenUsed="1" w:semiHidden="1" w:uiPriority="39" w:name="TOC Heading"/>
    <w:lsdException w:uiPriority="72" w:name="Plain Table 1"/>
    <w:lsdException w:uiPriority="73" w:name="Plain Table 2"/>
    <w:lsdException w:qFormat="1" w:uiPriority="19" w:name="Plain Table 3"/>
    <w:lsdException w:qFormat="1" w:uiPriority="21" w:name="Plain Table 4"/>
    <w:lsdException w:qFormat="1" w:uiPriority="31" w:name="Plain Table 5"/>
    <w:lsdException w:qFormat="1" w:uiPriority="32" w:name="Grid Table Light"/>
    <w:lsdException w:qFormat="1" w:uiPriority="33" w:name="Grid Table 1 Light"/>
    <w:lsdException w:uiPriority="37" w:name="Grid Table 2"/>
    <w:lsdException w:qFormat="1" w:uiPriority="39"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sdException w:unhideWhenUsed="1" w:semiHidden="1" w:uiPriority="99" w:name="Mention"/>
    <w:lsdException w:unhideWhenUsed="1" w:semiHidden="1" w:uiPriority="99" w:name="Smart Hyperlink"/>
    <w:lsdException w:unhideWhenUsed="1" w:semiHidden="1" w:uiPriority="99" w:name="Hashtag"/>
    <w:lsdException w:unhideWhenUsed="1" w:semiHidden="1" w:uiPriority="99" w:name="Unresolved Mention"/>
    <w:lsdException w:unhideWhenUsed="1" w:semiHidden="1" w:uiPriority="99" w:name="Smart Link"/>
    <w:lsdException w:unhideWhenUsed="1" w:semiHidden="1" w:uiPriority="99" w:name="Smart Link Error"/>
  </w:latentStyles>
  <w:style w:type="paragraph" w:styleId="Normal" w:default="1">
    <w:name w:val="Normal"/>
    <w:qFormat/>
    <w:rsid w:val="0040264c"/>
    <w:pPr>
      <w:widowControl/>
      <w:suppressAutoHyphens w:val="true"/>
      <w:bidi w:val="0"/>
      <w:jc w:val="both"/>
    </w:pPr>
    <w:rPr>
      <w:rFonts w:ascii="NewsGoth Cn TL" w:hAnsi="NewsGoth Cn TL" w:eastAsia="Times New Roman" w:cs="Arial"/>
      <w:color w:val="auto"/>
      <w:sz w:val="20"/>
      <w:szCs w:val="24"/>
      <w:lang w:val="et-EE" w:eastAsia="et-EE" w:bidi="ar-SA"/>
    </w:rPr>
  </w:style>
  <w:style w:type="paragraph" w:styleId="Heading1">
    <w:name w:val="Heading 1"/>
    <w:qFormat/>
    <w:rsid w:val="004a7e17"/>
    <w:basedOn w:val="Heading"/>
    <w:next w:val="Normal"/>
    <w:pPr>
      <w:keepNext/>
      <w:widowControl/>
      <w:numPr>
        <w:ilvl w:val="0"/>
        <w:numId w:val="2"/>
      </w:numPr>
      <w:bidi w:val="0"/>
      <w:jc w:val="left"/>
      <w:outlineLvl w:val="0"/>
      <w:outlineLvl w:val="0"/>
    </w:pPr>
    <w:rPr>
      <w:b/>
      <w:bCs/>
      <w:caps/>
      <w:color w:val="DE6C27"/>
      <w:sz w:val="28"/>
      <w:szCs w:val="24"/>
      <w:lang w:val="en-US" w:eastAsia="ar-SA"/>
    </w:rPr>
  </w:style>
  <w:style w:type="paragraph" w:styleId="Heading2">
    <w:name w:val="Heading 2"/>
    <w:qFormat/>
    <w:rsid w:val="004a7e17"/>
    <w:basedOn w:val="Heading1"/>
    <w:next w:val="Normal"/>
    <w:pPr>
      <w:numPr>
        <w:ilvl w:val="1"/>
        <w:numId w:val="2"/>
      </w:numPr>
      <w:outlineLvl w:val="1"/>
      <w:outlineLvl w:val="1"/>
    </w:pPr>
    <w:rPr>
      <w:sz w:val="24"/>
    </w:rPr>
  </w:style>
  <w:style w:type="paragraph" w:styleId="Heading3">
    <w:name w:val="Heading 3"/>
    <w:qFormat/>
    <w:link w:val="Heading3Char"/>
    <w:rsid w:val="004a7e17"/>
    <w:basedOn w:val="Heading2"/>
    <w:next w:val="Normal"/>
    <w:pPr>
      <w:numPr>
        <w:ilvl w:val="2"/>
        <w:numId w:val="2"/>
      </w:numPr>
      <w:outlineLvl w:val="2"/>
      <w:outlineLvl w:val="2"/>
    </w:pPr>
    <w:rPr>
      <w:rFonts w:cs="Times New Roman"/>
      <w:bCs w:val="false"/>
      <w:sz w:val="22"/>
      <w:szCs w:val="26"/>
    </w:rPr>
  </w:style>
  <w:style w:type="paragraph" w:styleId="Heading4">
    <w:name w:val="Heading 4"/>
    <w:qFormat/>
    <w:link w:val="Heading4Char"/>
    <w:rsid w:val="004a7e17"/>
    <w:basedOn w:val="Heading3"/>
    <w:next w:val="Normal"/>
    <w:pPr>
      <w:numPr>
        <w:ilvl w:val="3"/>
        <w:numId w:val="2"/>
      </w:numPr>
      <w:outlineLvl w:val="3"/>
      <w:outlineLvl w:val="3"/>
    </w:pPr>
    <w:rPr>
      <w:bCs/>
      <w:caps w:val="false"/>
      <w:smallCaps w:val="false"/>
      <w:szCs w:val="28"/>
    </w:rPr>
  </w:style>
  <w:style w:type="character" w:styleId="DefaultParagraphFont" w:default="1">
    <w:name w:val="Default Paragraph Font"/>
    <w:uiPriority w:val="1"/>
    <w:semiHidden/>
    <w:unhideWhenUsed/>
    <w:rPr/>
  </w:style>
  <w:style w:type="character" w:styleId="DefaultParagraphFont2" w:customStyle="1">
    <w:name w:val="Default Paragraph Font2"/>
    <w:rPr/>
  </w:style>
  <w:style w:type="character" w:styleId="Pagenumber">
    <w:name w:val="page number"/>
    <w:rsid w:val="0019268b"/>
    <w:rPr/>
  </w:style>
  <w:style w:type="character" w:styleId="HeaderChar" w:customStyle="1">
    <w:name w:val="Header Char"/>
    <w:uiPriority w:val="99"/>
    <w:link w:val="Header"/>
    <w:rsid w:val="00703f7b"/>
    <w:rPr>
      <w:sz w:val="24"/>
      <w:szCs w:val="24"/>
      <w:lang w:eastAsia="ar-SA"/>
    </w:rPr>
  </w:style>
  <w:style w:type="character" w:styleId="EndnoteTextChar" w:customStyle="1">
    <w:name w:val="Endnote Text Char"/>
    <w:link w:val="EndnoteText"/>
    <w:rsid w:val="00703f7b"/>
    <w:rPr>
      <w:sz w:val="24"/>
      <w:szCs w:val="24"/>
      <w:lang w:eastAsia="ar-SA"/>
    </w:rPr>
  </w:style>
  <w:style w:type="character" w:styleId="Endnotereference">
    <w:name w:val="endnote reference"/>
    <w:rsid w:val="00703f7b"/>
    <w:rPr>
      <w:vertAlign w:val="superscript"/>
    </w:rPr>
  </w:style>
  <w:style w:type="character" w:styleId="Annotationreference">
    <w:name w:val="annotation reference"/>
    <w:rsid w:val="00101cc9"/>
    <w:rPr>
      <w:sz w:val="18"/>
      <w:szCs w:val="18"/>
    </w:rPr>
  </w:style>
  <w:style w:type="character" w:styleId="CommentTextChar" w:customStyle="1">
    <w:name w:val="Comment Text Char"/>
    <w:link w:val="CommentText"/>
    <w:rsid w:val="00101cc9"/>
    <w:rPr>
      <w:sz w:val="24"/>
      <w:szCs w:val="24"/>
      <w:lang w:eastAsia="ar-SA"/>
    </w:rPr>
  </w:style>
  <w:style w:type="character" w:styleId="CommentSubjectChar" w:customStyle="1">
    <w:name w:val="Comment Subject Char"/>
    <w:link w:val="CommentSubject"/>
    <w:rsid w:val="00101cc9"/>
    <w:rPr>
      <w:b/>
      <w:bCs/>
      <w:sz w:val="24"/>
      <w:szCs w:val="24"/>
      <w:lang w:eastAsia="ar-SA"/>
    </w:rPr>
  </w:style>
  <w:style w:type="character" w:styleId="BalloonTextChar" w:customStyle="1">
    <w:name w:val="Balloon Text Char"/>
    <w:link w:val="BalloonText"/>
    <w:rsid w:val="00101cc9"/>
    <w:rPr>
      <w:rFonts w:ascii="Lucida Grande" w:hAnsi="Lucida Grande" w:cs="Lucida Grande"/>
      <w:sz w:val="18"/>
      <w:szCs w:val="18"/>
      <w:lang w:eastAsia="ar-SA"/>
    </w:rPr>
  </w:style>
  <w:style w:type="character" w:styleId="Heading3Char" w:customStyle="1">
    <w:name w:val="Heading 3 Char"/>
    <w:link w:val="Heading3"/>
    <w:rsid w:val="0038311e"/>
    <w:rPr>
      <w:rFonts w:cs="Times New Roman"/>
      <w:b/>
      <w:caps/>
      <w:color w:val="DE6C27"/>
      <w:sz w:val="22"/>
      <w:szCs w:val="26"/>
      <w:lang w:val="en-US" w:eastAsia="ar-SA"/>
    </w:rPr>
  </w:style>
  <w:style w:type="character" w:styleId="Heading4Char" w:customStyle="1">
    <w:name w:val="Heading 4 Char"/>
    <w:link w:val="Heading4"/>
    <w:rsid w:val="0038311e"/>
    <w:rPr>
      <w:rFonts w:cs="Times New Roman"/>
      <w:b/>
      <w:bCs/>
      <w:color w:val="DE6C27"/>
      <w:sz w:val="22"/>
      <w:szCs w:val="28"/>
      <w:lang w:val="en-US" w:eastAsia="ar-SA"/>
    </w:rPr>
  </w:style>
  <w:style w:type="character" w:styleId="InternetLink">
    <w:name w:val="Internet Link"/>
    <w:uiPriority w:val="99"/>
    <w:unhideWhenUsed/>
    <w:rsid w:val="00351364"/>
    <w:rPr>
      <w:color w:val="0563C1"/>
      <w:u w:val="single"/>
      <w:lang w:val="zxx" w:eastAsia="zxx" w:bidi="zxx"/>
    </w:rPr>
  </w:style>
  <w:style w:type="character" w:styleId="ListLabel1">
    <w:name w:val="ListLabel 1"/>
    <w:rPr>
      <w:rFonts w:cs="Courier New"/>
    </w:rPr>
  </w:style>
  <w:style w:type="character" w:styleId="ListLabel2">
    <w:name w:val="ListLabel 2"/>
    <w:rPr>
      <w:rFonts w:eastAsia="Times New Roman" w:cs="Arial"/>
    </w:rPr>
  </w:style>
  <w:style w:type="character" w:styleId="IndexLink">
    <w:name w:val="Index Link"/>
    <w:rPr/>
  </w:style>
  <w:style w:type="paragraph" w:styleId="Heading">
    <w:name w:val="Heading"/>
    <w:basedOn w:val="Normal"/>
    <w:next w:val="TextBody"/>
    <w:pPr>
      <w:keepNext/>
      <w:spacing w:before="240" w:after="120"/>
    </w:pPr>
    <w:rPr>
      <w:rFonts w:ascii="Liberation Sans" w:hAnsi="Liberation Sans" w:eastAsia="Microsoft YaHei" w:cs="Mangal"/>
      <w:sz w:val="28"/>
      <w:szCs w:val="28"/>
    </w:rPr>
  </w:style>
  <w:style w:type="paragraph" w:styleId="TextBody">
    <w:name w:val="Text Body"/>
    <w:basedOn w:val="Normal"/>
    <w:pPr>
      <w:spacing w:lineRule="auto" w:line="288" w:before="0" w:after="120"/>
    </w:pPr>
    <w:rPr/>
  </w:style>
  <w:style w:type="paragraph" w:styleId="List">
    <w:name w:val="List"/>
    <w:basedOn w:val="TextBody"/>
    <w:pPr/>
    <w:rPr>
      <w:rFonts w:cs="Tahoma"/>
    </w:rPr>
  </w:style>
  <w:style w:type="paragraph" w:styleId="Caption">
    <w:name w:val="Caption"/>
    <w:basedOn w:val="Normal"/>
    <w:pPr>
      <w:suppressLineNumbers/>
      <w:spacing w:before="120" w:after="120"/>
    </w:pPr>
    <w:rPr>
      <w:rFonts w:cs="Mangal"/>
      <w:i/>
      <w:iCs/>
      <w:sz w:val="24"/>
      <w:szCs w:val="24"/>
    </w:rPr>
  </w:style>
  <w:style w:type="paragraph" w:styleId="Index">
    <w:name w:val="Index"/>
    <w:basedOn w:val="Normal"/>
    <w:pPr>
      <w:suppressLineNumbers/>
    </w:pPr>
    <w:rPr>
      <w:rFonts w:cs="Mangal"/>
    </w:rPr>
  </w:style>
  <w:style w:type="paragraph" w:styleId="Style10" w:customStyle="1">
    <w:name w:val="Заголовок"/>
    <w:basedOn w:val="Normal"/>
    <w:next w:val="TextBody"/>
    <w:pPr>
      <w:keepNext/>
      <w:spacing w:before="240" w:after="120"/>
    </w:pPr>
    <w:rPr>
      <w:rFonts w:ascii="Arial" w:hAnsi="Arial" w:eastAsia="Arial" w:cs="Tahoma"/>
      <w:sz w:val="28"/>
      <w:szCs w:val="28"/>
    </w:rPr>
  </w:style>
  <w:style w:type="paragraph" w:styleId="1" w:customStyle="1">
    <w:name w:val="Название1"/>
    <w:basedOn w:val="Normal"/>
    <w:pPr>
      <w:suppressLineNumbers/>
      <w:spacing w:before="120" w:after="120"/>
    </w:pPr>
    <w:rPr>
      <w:rFonts w:cs="Tahoma"/>
      <w:i/>
      <w:iCs/>
      <w:sz w:val="24"/>
    </w:rPr>
  </w:style>
  <w:style w:type="paragraph" w:styleId="Style11" w:customStyle="1">
    <w:name w:val="Указатель"/>
    <w:basedOn w:val="Normal"/>
    <w:pPr>
      <w:suppressLineNumbers/>
    </w:pPr>
    <w:rPr>
      <w:rFonts w:cs="Tahoma"/>
    </w:rPr>
  </w:style>
  <w:style w:type="paragraph" w:styleId="Header">
    <w:name w:val="Header"/>
    <w:uiPriority w:val="99"/>
    <w:link w:val="HeaderChar"/>
    <w:basedOn w:val="Normal"/>
    <w:pPr>
      <w:tabs>
        <w:tab w:val="center" w:pos="4536" w:leader="none"/>
        <w:tab w:val="right" w:pos="9072" w:leader="none"/>
      </w:tabs>
    </w:pPr>
    <w:rPr/>
  </w:style>
  <w:style w:type="paragraph" w:styleId="Footer">
    <w:name w:val="Footer"/>
    <w:basedOn w:val="Normal"/>
    <w:pPr>
      <w:tabs>
        <w:tab w:val="center" w:pos="4536" w:leader="none"/>
        <w:tab w:val="right" w:pos="9072" w:leader="none"/>
      </w:tabs>
    </w:pPr>
    <w:rPr/>
  </w:style>
  <w:style w:type="paragraph" w:styleId="Style12" w:customStyle="1">
    <w:name w:val="Содержимое врезки"/>
    <w:basedOn w:val="TextBody"/>
    <w:pPr/>
    <w:rPr/>
  </w:style>
  <w:style w:type="paragraph" w:styleId="Style13" w:customStyle="1">
    <w:name w:val="Содержимое таблицы"/>
    <w:basedOn w:val="Normal"/>
    <w:pPr>
      <w:suppressLineNumbers/>
    </w:pPr>
    <w:rPr/>
  </w:style>
  <w:style w:type="paragraph" w:styleId="Style14" w:customStyle="1">
    <w:name w:val="Заголовок таблицы"/>
    <w:basedOn w:val="Style13"/>
    <w:pPr>
      <w:jc w:val="center"/>
    </w:pPr>
    <w:rPr>
      <w:b/>
      <w:bCs/>
    </w:rPr>
  </w:style>
  <w:style w:type="paragraph" w:styleId="Endnotetext">
    <w:name w:val="endnote text"/>
    <w:link w:val="EndnoteTextChar"/>
    <w:rsid w:val="00703f7b"/>
    <w:basedOn w:val="Normal"/>
    <w:pPr/>
    <w:rPr/>
  </w:style>
  <w:style w:type="paragraph" w:styleId="Annotationtext">
    <w:name w:val="annotation text"/>
    <w:link w:val="CommentTextChar"/>
    <w:rsid w:val="00101cc9"/>
    <w:basedOn w:val="Normal"/>
    <w:pPr/>
    <w:rPr/>
  </w:style>
  <w:style w:type="paragraph" w:styleId="Annotationsubject">
    <w:name w:val="annotation subject"/>
    <w:link w:val="CommentSubjectChar"/>
    <w:rsid w:val="00101cc9"/>
    <w:basedOn w:val="Annotationtext"/>
    <w:pPr/>
    <w:rPr>
      <w:b/>
      <w:bCs/>
      <w:szCs w:val="20"/>
    </w:rPr>
  </w:style>
  <w:style w:type="paragraph" w:styleId="BalloonText">
    <w:name w:val="Balloon Text"/>
    <w:link w:val="BalloonTextChar"/>
    <w:rsid w:val="00101cc9"/>
    <w:basedOn w:val="Normal"/>
    <w:pPr/>
    <w:rPr>
      <w:rFonts w:ascii="Lucida Grande" w:hAnsi="Lucida Grande" w:cs="Lucida Grande"/>
      <w:sz w:val="18"/>
      <w:szCs w:val="18"/>
    </w:rPr>
  </w:style>
  <w:style w:type="paragraph" w:styleId="ContentsHeading">
    <w:name w:val="Contents Heading"/>
    <w:uiPriority w:val="39"/>
    <w:qFormat/>
    <w:unhideWhenUsed/>
    <w:rsid w:val="00351364"/>
    <w:basedOn w:val="Heading1"/>
    <w:next w:val="Normal"/>
    <w:pPr>
      <w:keepLines/>
      <w:spacing w:lineRule="auto" w:line="259" w:before="240" w:after="120"/>
    </w:pPr>
    <w:rPr>
      <w:rFonts w:ascii="Calibri Light" w:hAnsi="Calibri Light" w:cs="Times New Roman"/>
      <w:b w:val="false"/>
      <w:bCs w:val="false"/>
      <w:caps w:val="false"/>
      <w:smallCaps w:val="false"/>
      <w:color w:val="2E74B5"/>
      <w:sz w:val="32"/>
      <w:szCs w:val="32"/>
      <w:lang w:eastAsia="en-US"/>
    </w:rPr>
  </w:style>
  <w:style w:type="paragraph" w:styleId="Contents1">
    <w:name w:val="Contents 1"/>
    <w:uiPriority w:val="39"/>
    <w:rsid w:val="00886512"/>
    <w:basedOn w:val="Normal"/>
    <w:next w:val="Normal"/>
    <w:autoRedefine/>
    <w:pPr>
      <w:tabs>
        <w:tab w:val="left" w:pos="660" w:leader="none"/>
        <w:tab w:val="right" w:pos="7640" w:leader="dot"/>
      </w:tabs>
    </w:pPr>
    <w:rPr/>
  </w:style>
  <w:style w:type="paragraph" w:styleId="Contents2">
    <w:name w:val="Contents 2"/>
    <w:uiPriority w:val="39"/>
    <w:rsid w:val="00351364"/>
    <w:basedOn w:val="Normal"/>
    <w:next w:val="Normal"/>
    <w:autoRedefine/>
    <w:pPr>
      <w:ind w:left="240" w:right="0" w:hanging="0"/>
    </w:pPr>
    <w:rPr/>
  </w:style>
  <w:style w:type="paragraph" w:styleId="Contents3">
    <w:name w:val="Contents 3"/>
    <w:uiPriority w:val="39"/>
    <w:rsid w:val="003b1278"/>
    <w:basedOn w:val="Normal"/>
    <w:next w:val="Normal"/>
    <w:autoRedefine/>
    <w:pPr>
      <w:ind w:left="400" w:right="0" w:hanging="0"/>
    </w:pPr>
    <w:rPr/>
  </w:style>
  <w:style w:type="paragraph" w:styleId="ListParagraph">
    <w:name w:val="List Paragraph"/>
    <w:uiPriority w:val="72"/>
    <w:qFormat/>
    <w:rsid w:val="0004079c"/>
    <w:basedOn w:val="Normal"/>
    <w:pPr>
      <w:spacing w:before="0" w:after="0"/>
      <w:ind w:left="720" w:right="0" w:hanging="0"/>
      <w:contextualSpacing/>
    </w:pPr>
    <w:rPr/>
  </w:style>
  <w:style w:type="paragraph" w:styleId="FrameContents">
    <w:name w:val="Frame Contents"/>
    <w:basedOn w:val="Normal"/>
    <w:pPr/>
    <w:rPr/>
  </w:style>
  <w:style w:type="numbering" w:styleId="NoList" w:default="1">
    <w:name w:val="No List"/>
    <w:uiPriority w:val="99"/>
    <w:semiHidden/>
    <w:unhideWhenUsed/>
  </w:style>
  <w:style w:type="numbering" w:styleId="HeatConsult" w:customStyle="1">
    <w:name w:val="HeatConsult"/>
    <w:rsid w:val="004a7e17"/>
  </w:style>
  <w:style w:type="table" w:default="1" w:styleId="TableNormal">
    <w:name w:val="Normal Table"/>
    <w:uiPriority w:val="99"/>
    <w:semiHidden/>
    <w:unhideWhenUsed/>
    <w:tblPr>
      <w:tblInd w:type="dxa" w:w="0"/>
      <w:tblCellMar>
        <w:top w:w="0" w:type="dxa"/>
        <w:left w:w="108" w:type="dxa"/>
        <w:bottom w:w="0" w:type="dxa"/>
        <w:right w:w="108" w:type="dxa"/>
      </w:tblCellMar>
    </w:tblPr>
  </w:style>
  <w:style w:type="table" w:styleId="TableGrid">
    <w:name w:val="Table Grid"/>
    <w:basedOn w:val="TableNormal"/>
    <w:rsid w:val="00e92a51"/>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emf"/><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7D917-ACAF-49B6-A05F-274A0A59E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2016-04-04T12:54:00Z</dcterms:created>
  <dc:creator>HeatConsult</dc:creator>
  <dc:language>et-EE</dc:language>
  <cp:lastModifiedBy>Igor Krupenski</cp:lastModifiedBy>
  <cp:lastPrinted>2015-08-05T07:25:00Z</cp:lastPrinted>
  <dcterms:modified xsi:type="dcterms:W3CDTF">2019-10-03T20:07:00Z</dcterms:modified>
  <cp:revision>11</cp:revision>
  <dc:title>Seletuskiri EP</dc:title>
</cp:coreProperties>
</file>